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Государственная кадастровая оценка недвижимости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«Государственная кадастровая оценка недвижимости»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«Государственная кадастровая оценка недвижимости».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«Государственная кадастровая оценка недвижимости»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стоимость движимого и недвижимого имущества, прав, работ и услуг, связанных с объектами недвижимости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порядок составления задания на определение стоимостей и заключения договоров с заказчиком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особенности ценообразования на рынке движимого и недвижимого имущества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работ по определению стоимостей движимого и недвижимого имущества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классификацию объектов недвижимости, требования охраны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выявлять основные особенности и характеристики движимого и недвижимого имущества в переговорах с заказчиками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пользоваться источниками информации, выявлять и отображать ценообразующие факторы объектов движимого и недвижимого имущества и их аналогов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формулы для расчета стоимостей в соответствии со стандартами, правилами и методологией определения стоимостей движимого и недвижимого имущества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выявлять 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ставить задачи анализа и исследования и анализировать результаты их анализа и исследования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отражать состояние и особенности объектов движимого и недвижимого имущества при их описании, идентифицировать движимое и недвижимое имущество и отражать его состояние и особенности при фотографировании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привлечения отраслевых экспертов для проведения исследований, требующих специальных знаний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владеть навыками описания движимого и недвижимого имущества, изучения рынка движимого и недвижимого имущества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владеть навыками определения итоговых величин стоимостей движимого и недвижимого имущества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подбора объектов - аналогов недвижимого имущества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анализа информации о движимом и недвижимом имуществе и совокупности прав на него</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исследования состояния (в том числе технического) движимого и недвижимого имущества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выбора методов и подходов для определения стоимостей движимого и недвижимого имущества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установления допущений и ограничивающих условий при определении стоимостей движимого и недвижимого имущества</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«Государственная кадастровая оценка недвижимости»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обеспечение формирования и оценки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Ценообразование в оценочной деятельности</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Оценка машин, оборудования и транспортных средств</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034.14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Общие положения о кадастровой оценки</w:t>
            </w:r>
          </w:p>
          <w:p>
            <w:pPr>
              <w:jc w:val="left"/>
              <w:spacing w:after="0" w:line="240" w:lineRule="auto"/>
              <w:rPr>
                <w:sz w:val="24"/>
                <w:szCs w:val="24"/>
              </w:rPr>
            </w:pPr>
            <w:r>
              <w:rPr>
                <w:rFonts w:ascii="Times New Roman" w:hAnsi="Times New Roman" w:cs="Times New Roman"/>
                <w:b/>
                <w:color w:val="#000000"/>
                <w:sz w:val="24"/>
                <w:szCs w:val="24"/>
              </w:rPr>
              <w:t>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кадастровой оценки</w:t>
            </w:r>
          </w:p>
          <w:p>
            <w:pPr>
              <w:jc w:val="left"/>
              <w:spacing w:after="0" w:line="240" w:lineRule="auto"/>
              <w:rPr>
                <w:sz w:val="24"/>
                <w:szCs w:val="24"/>
              </w:rPr>
            </w:pPr>
            <w:r>
              <w:rPr>
                <w:rFonts w:ascii="Times New Roman" w:hAnsi="Times New Roman" w:cs="Times New Roman"/>
                <w:color w:val="#000000"/>
                <w:sz w:val="24"/>
                <w:szCs w:val="24"/>
              </w:rPr>
              <w:t>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Нормативно - правовая база кадастровой</w:t>
            </w:r>
          </w:p>
          <w:p>
            <w:pPr>
              <w:jc w:val="left"/>
              <w:spacing w:after="0" w:line="240" w:lineRule="auto"/>
              <w:rPr>
                <w:sz w:val="24"/>
                <w:szCs w:val="24"/>
              </w:rPr>
            </w:pPr>
            <w:r>
              <w:rPr>
                <w:rFonts w:ascii="Times New Roman" w:hAnsi="Times New Roman" w:cs="Times New Roman"/>
                <w:b/>
                <w:color w:val="#000000"/>
                <w:sz w:val="24"/>
                <w:szCs w:val="24"/>
              </w:rPr>
              <w:t> оценки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регламентирующие кадастровую</w:t>
            </w:r>
          </w:p>
          <w:p>
            <w:pPr>
              <w:jc w:val="left"/>
              <w:spacing w:after="0" w:line="240" w:lineRule="auto"/>
              <w:rPr>
                <w:sz w:val="24"/>
                <w:szCs w:val="24"/>
              </w:rPr>
            </w:pPr>
            <w:r>
              <w:rPr>
                <w:rFonts w:ascii="Times New Roman" w:hAnsi="Times New Roman" w:cs="Times New Roman"/>
                <w:color w:val="#000000"/>
                <w:sz w:val="24"/>
                <w:szCs w:val="24"/>
              </w:rPr>
              <w:t> оценки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кадастровой оценки</w:t>
            </w:r>
          </w:p>
          <w:p>
            <w:pPr>
              <w:jc w:val="left"/>
              <w:spacing w:after="0" w:line="240" w:lineRule="auto"/>
              <w:rPr>
                <w:sz w:val="24"/>
                <w:szCs w:val="24"/>
              </w:rPr>
            </w:pPr>
            <w:r>
              <w:rPr>
                <w:rFonts w:ascii="Times New Roman" w:hAnsi="Times New Roman" w:cs="Times New Roman"/>
                <w:color w:val="#000000"/>
                <w:sz w:val="24"/>
                <w:szCs w:val="24"/>
              </w:rPr>
              <w:t>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Законодательство об оценочной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Порядок осуществления государственного кадастрового учета (ГКУ)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государственного кадастрового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государственного кадастрового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Документирование государственного кадастрового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Технология</w:t>
            </w:r>
          </w:p>
          <w:p>
            <w:pPr>
              <w:jc w:val="left"/>
              <w:spacing w:after="0" w:line="240" w:lineRule="auto"/>
              <w:rPr>
                <w:sz w:val="24"/>
                <w:szCs w:val="24"/>
              </w:rPr>
            </w:pPr>
            <w:r>
              <w:rPr>
                <w:rFonts w:ascii="Times New Roman" w:hAnsi="Times New Roman" w:cs="Times New Roman"/>
                <w:b/>
                <w:color w:val="#000000"/>
                <w:sz w:val="24"/>
                <w:szCs w:val="24"/>
              </w:rPr>
              <w:t> государственной кадастровой оценки объектов</w:t>
            </w:r>
          </w:p>
          <w:p>
            <w:pPr>
              <w:jc w:val="left"/>
              <w:spacing w:after="0" w:line="240" w:lineRule="auto"/>
              <w:rPr>
                <w:sz w:val="24"/>
                <w:szCs w:val="24"/>
              </w:rPr>
            </w:pPr>
            <w:r>
              <w:rPr>
                <w:rFonts w:ascii="Times New Roman" w:hAnsi="Times New Roman" w:cs="Times New Roman"/>
                <w:b/>
                <w:color w:val="#000000"/>
                <w:sz w:val="24"/>
                <w:szCs w:val="24"/>
              </w:rPr>
              <w:t>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технологии государственной кадастровой оценки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технологии государственной кадастровой оценки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проведения государственной кадастровой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Кадастровая оценка и инвентаризация</w:t>
            </w:r>
          </w:p>
          <w:p>
            <w:pPr>
              <w:jc w:val="left"/>
              <w:spacing w:after="0" w:line="240" w:lineRule="auto"/>
              <w:rPr>
                <w:sz w:val="24"/>
                <w:szCs w:val="24"/>
              </w:rPr>
            </w:pPr>
            <w:r>
              <w:rPr>
                <w:rFonts w:ascii="Times New Roman" w:hAnsi="Times New Roman" w:cs="Times New Roman"/>
                <w:b/>
                <w:color w:val="#000000"/>
                <w:sz w:val="24"/>
                <w:szCs w:val="24"/>
              </w:rPr>
              <w:t>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инвентаризации</w:t>
            </w:r>
          </w:p>
          <w:p>
            <w:pPr>
              <w:jc w:val="left"/>
              <w:spacing w:after="0" w:line="240" w:lineRule="auto"/>
              <w:rPr>
                <w:sz w:val="24"/>
                <w:szCs w:val="24"/>
              </w:rPr>
            </w:pPr>
            <w:r>
              <w:rPr>
                <w:rFonts w:ascii="Times New Roman" w:hAnsi="Times New Roman" w:cs="Times New Roman"/>
                <w:color w:val="#000000"/>
                <w:sz w:val="24"/>
                <w:szCs w:val="24"/>
              </w:rPr>
              <w:t>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проведения  инвентаризации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инвентаризации объектов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450.9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документы, регламентирующие кадастровую</w:t>
            </w:r>
          </w:p>
          <w:p>
            <w:pPr>
              <w:jc w:val="center"/>
              <w:spacing w:after="0" w:line="240" w:lineRule="auto"/>
              <w:rPr>
                <w:sz w:val="24"/>
                <w:szCs w:val="24"/>
              </w:rPr>
            </w:pPr>
            <w:r>
              <w:rPr>
                <w:rFonts w:ascii="Times New Roman" w:hAnsi="Times New Roman" w:cs="Times New Roman"/>
                <w:b/>
                <w:color w:val="#000000"/>
                <w:sz w:val="24"/>
                <w:szCs w:val="24"/>
              </w:rPr>
              <w:t> оценки объектов недвижимости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Гражданский кодекс РФ, Земельный кодекс РФ, Налоговый кодекс РФ о кадастровой оценке объектов недвижимости. Законы постановления Правительства РФ и</w:t>
            </w:r>
          </w:p>
          <w:p>
            <w:pPr>
              <w:jc w:val="both"/>
              <w:spacing w:after="0" w:line="240" w:lineRule="auto"/>
              <w:rPr>
                <w:sz w:val="24"/>
                <w:szCs w:val="24"/>
              </w:rPr>
            </w:pPr>
            <w:r>
              <w:rPr>
                <w:rFonts w:ascii="Times New Roman" w:hAnsi="Times New Roman" w:cs="Times New Roman"/>
                <w:color w:val="#000000"/>
                <w:sz w:val="24"/>
                <w:szCs w:val="24"/>
              </w:rPr>
              <w:t> нормативные  Минэкономразвития РФ, регламентирующие проведение кадастровой оценки использование ее результатов.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государственного кадастрового учета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кадастрового учета в зависимости от объекта и юридического статуса объекта недвижимости. Обработка документов, принятых на ГКУ. Принятие решения о постановке на ГКУ, о приостановлении, об отказе. Внесение сведений в АИС ГКН. Подготовка документации к выдаче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технологии государственной кадастровой оценки объектов недвижимости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решения о проведении государственной кадастровой оценки. Подготовка к проведению государственной кадастровой оценки. Порядок формирования, предоставления и обработки</w:t>
            </w:r>
          </w:p>
          <w:p>
            <w:pPr>
              <w:jc w:val="both"/>
              <w:spacing w:after="0" w:line="240" w:lineRule="auto"/>
              <w:rPr>
                <w:sz w:val="24"/>
                <w:szCs w:val="24"/>
              </w:rPr>
            </w:pPr>
            <w:r>
              <w:rPr>
                <w:rFonts w:ascii="Times New Roman" w:hAnsi="Times New Roman" w:cs="Times New Roman"/>
                <w:color w:val="#000000"/>
                <w:sz w:val="24"/>
                <w:szCs w:val="24"/>
              </w:rPr>
              <w:t> перечня объектов недвижимости, подлежащих</w:t>
            </w:r>
          </w:p>
          <w:p>
            <w:pPr>
              <w:jc w:val="both"/>
              <w:spacing w:after="0" w:line="240" w:lineRule="auto"/>
              <w:rPr>
                <w:sz w:val="24"/>
                <w:szCs w:val="24"/>
              </w:rPr>
            </w:pPr>
            <w:r>
              <w:rPr>
                <w:rFonts w:ascii="Times New Roman" w:hAnsi="Times New Roman" w:cs="Times New Roman"/>
                <w:color w:val="#000000"/>
                <w:sz w:val="24"/>
                <w:szCs w:val="24"/>
              </w:rPr>
              <w:t> государственной кадастровой оценке.</w:t>
            </w:r>
          </w:p>
          <w:p>
            <w:pPr>
              <w:jc w:val="both"/>
              <w:spacing w:after="0" w:line="240" w:lineRule="auto"/>
              <w:rPr>
                <w:sz w:val="24"/>
                <w:szCs w:val="24"/>
              </w:rPr>
            </w:pPr>
            <w:r>
              <w:rPr>
                <w:rFonts w:ascii="Times New Roman" w:hAnsi="Times New Roman" w:cs="Times New Roman"/>
                <w:color w:val="#000000"/>
                <w:sz w:val="24"/>
                <w:szCs w:val="24"/>
              </w:rPr>
              <w:t> Определение кадастровой стоимости. Утверждение результатов определения кадастровой стоимости. Внесение в Единый государственный недвижимости сведений о кадастровой стоимости.</w:t>
            </w:r>
          </w:p>
          <w:p>
            <w:pPr>
              <w:jc w:val="both"/>
              <w:spacing w:after="0" w:line="240" w:lineRule="auto"/>
              <w:rPr>
                <w:sz w:val="24"/>
                <w:szCs w:val="24"/>
              </w:rPr>
            </w:pPr>
            <w:r>
              <w:rPr>
                <w:rFonts w:ascii="Times New Roman" w:hAnsi="Times New Roman" w:cs="Times New Roman"/>
                <w:color w:val="#000000"/>
                <w:sz w:val="24"/>
                <w:szCs w:val="24"/>
              </w:rPr>
              <w:t> Государственная кадастровая оценка земель  населенных пунктов. Кадастровая оценка земель сельскохозяйственного назначения.</w:t>
            </w:r>
          </w:p>
          <w:p>
            <w:pPr>
              <w:jc w:val="both"/>
              <w:spacing w:after="0" w:line="240" w:lineRule="auto"/>
              <w:rPr>
                <w:sz w:val="24"/>
                <w:szCs w:val="24"/>
              </w:rPr>
            </w:pPr>
            <w:r>
              <w:rPr>
                <w:rFonts w:ascii="Times New Roman" w:hAnsi="Times New Roman" w:cs="Times New Roman"/>
                <w:color w:val="#000000"/>
                <w:sz w:val="24"/>
                <w:szCs w:val="24"/>
              </w:rPr>
              <w:t> Государственная кадастровая оценка земель других категорий.</w:t>
            </w:r>
          </w:p>
          <w:p>
            <w:pPr>
              <w:jc w:val="both"/>
              <w:spacing w:after="0" w:line="240" w:lineRule="auto"/>
              <w:rPr>
                <w:sz w:val="24"/>
                <w:szCs w:val="24"/>
              </w:rPr>
            </w:pPr>
            <w:r>
              <w:rPr>
                <w:rFonts w:ascii="Times New Roman" w:hAnsi="Times New Roman" w:cs="Times New Roman"/>
                <w:color w:val="#000000"/>
                <w:sz w:val="24"/>
                <w:szCs w:val="24"/>
              </w:rPr>
              <w:t> Общие положения. Методическое обеспечение выполнения работ. Методика и особенности технологии проведения кадастровой оценки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инвентаризации</w:t>
            </w:r>
          </w:p>
          <w:p>
            <w:pPr>
              <w:jc w:val="center"/>
              <w:spacing w:after="0" w:line="240" w:lineRule="auto"/>
              <w:rPr>
                <w:sz w:val="24"/>
                <w:szCs w:val="24"/>
              </w:rPr>
            </w:pPr>
            <w:r>
              <w:rPr>
                <w:rFonts w:ascii="Times New Roman" w:hAnsi="Times New Roman" w:cs="Times New Roman"/>
                <w:b/>
                <w:color w:val="#000000"/>
                <w:sz w:val="24"/>
                <w:szCs w:val="24"/>
              </w:rPr>
              <w:t> объектов недвижимости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основные отличия технической инвентаризация от государственной кадастровой оценки объектов недвижимости.</w:t>
            </w:r>
          </w:p>
          <w:p>
            <w:pPr>
              <w:jc w:val="both"/>
              <w:spacing w:after="0" w:line="240" w:lineRule="auto"/>
              <w:rPr>
                <w:sz w:val="24"/>
                <w:szCs w:val="24"/>
              </w:rPr>
            </w:pPr>
            <w:r>
              <w:rPr>
                <w:rFonts w:ascii="Times New Roman" w:hAnsi="Times New Roman" w:cs="Times New Roman"/>
                <w:color w:val="#000000"/>
                <w:sz w:val="24"/>
                <w:szCs w:val="24"/>
              </w:rPr>
              <w:t> Сроки, порядок проведения и особенности инвентаризации недвижимого имущества. Этапы проведения инвентаризации недвижимого  имущества.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Законодательство об оценочной деятельности в РФ</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законодательство оценочной деятельности в РФ о государственной кадастровой оценке объектов недвижимости (Федеральный закон "Об оценочной деятельности в Российской Федерации" от 29.07.1998 N 135-ФЗ и Федеральный закон "О государственной кадастровой оценке" от 03.07.2016 N 237-ФЗ).</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Документирование государственного кадастрового учета</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и обработка  документов, принятых на государственный кадастровый учет.Проведение ГКУ объектов недвижимости. Внесение сведений в Автоматизированную информационную систему государственного кадастра недвижимости. Подготовка документации к выдаче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проведения государственной кадастровой оценки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Последовательность формирования, предоставления и обработки перечня объектов недвижимости, подлежащих государственной кадастровой оценке. Подготовка и проведение государственной кадастровой оценкиГосударственная кадастровая отдельных объектов недвижимости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инвентаризации объектов недвижимости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проведения и особенности инвентаризация объектов недвижимости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«Государственная кадастровая оценка недвижимости» / Герасимова Н.О..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Загидуллина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Люлин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Сиразетдинов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https://urait.ru/bcode/454123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кадастровой</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Пылаева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https://urait.ru/bcode/448353</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кадастровой</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Пылаева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https://urait.ru/bcode/472596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недвижимостью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Каражакова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Веденеева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Зверева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Хвостов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Бачуринская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https://urait.ru/bcode/469504</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978-5-534-14586-1.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https://urait.ru/bcode/477964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5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86.9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2021-2022_ФГОС3++2021_Бак-ЗФО-Э(БАиОСИ)(21)_plx_Государственная кадастровая оценка недвижимости</dc:title>
  <dc:creator>FastReport.NET</dc:creator>
</cp:coreProperties>
</file>